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CFC" w:rsidRDefault="00A112ED" w:rsidP="00C10CFC">
      <w:pPr>
        <w:jc w:val="both"/>
        <w:rPr>
          <w:sz w:val="22"/>
          <w:szCs w:val="22"/>
        </w:rPr>
      </w:pPr>
      <w:r>
        <w:rPr>
          <w:sz w:val="22"/>
          <w:szCs w:val="22"/>
        </w:rPr>
        <w:t>Standardowa siatka marż:</w:t>
      </w:r>
    </w:p>
    <w:p w:rsidR="00A112ED" w:rsidRPr="00D30025" w:rsidRDefault="00A112ED" w:rsidP="00C10CFC">
      <w:pPr>
        <w:jc w:val="both"/>
        <w:rPr>
          <w:sz w:val="22"/>
          <w:szCs w:val="22"/>
        </w:rPr>
      </w:pPr>
    </w:p>
    <w:tbl>
      <w:tblPr>
        <w:tblW w:w="4965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1"/>
        <w:gridCol w:w="1872"/>
        <w:gridCol w:w="1603"/>
        <w:gridCol w:w="1736"/>
        <w:gridCol w:w="1736"/>
      </w:tblGrid>
      <w:tr w:rsidR="00C10CFC" w:rsidRPr="007235DA" w:rsidTr="00901377">
        <w:trPr>
          <w:trHeight w:val="3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Kredyty</w:t>
            </w:r>
            <w:r w:rsidR="00CE3A6A">
              <w:rPr>
                <w:sz w:val="22"/>
              </w:rPr>
              <w:t xml:space="preserve"> *</w:t>
            </w:r>
          </w:p>
        </w:tc>
      </w:tr>
      <w:tr w:rsidR="00C10CFC" w:rsidRPr="007235DA" w:rsidTr="00901377">
        <w:trPr>
          <w:trHeight w:val="388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CFC" w:rsidRPr="007235DA" w:rsidRDefault="00C10CFC" w:rsidP="00901377">
            <w:pPr>
              <w:rPr>
                <w:sz w:val="22"/>
              </w:rPr>
            </w:pPr>
            <w:r w:rsidRPr="007235DA">
              <w:rPr>
                <w:sz w:val="22"/>
              </w:rPr>
              <w:t>LTV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do 99.99 tys.</w:t>
            </w:r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 xml:space="preserve">od 100 – </w:t>
            </w:r>
          </w:p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199,99tys.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 xml:space="preserve">od 200– </w:t>
            </w:r>
          </w:p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499,99 tys.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od 500tys.</w:t>
            </w:r>
          </w:p>
        </w:tc>
      </w:tr>
      <w:tr w:rsidR="00C10CFC" w:rsidRPr="007235DA" w:rsidTr="00901377">
        <w:trPr>
          <w:trHeight w:val="388"/>
        </w:trPr>
        <w:tc>
          <w:tcPr>
            <w:tcW w:w="1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rPr>
                <w:sz w:val="22"/>
              </w:rPr>
            </w:pPr>
            <w:r w:rsidRPr="007235DA">
              <w:rPr>
                <w:sz w:val="22"/>
              </w:rPr>
              <w:t>do 50%</w:t>
            </w:r>
          </w:p>
        </w:tc>
        <w:tc>
          <w:tcPr>
            <w:tcW w:w="1023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2,10%</w:t>
            </w:r>
          </w:p>
        </w:tc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1,80%</w:t>
            </w:r>
          </w:p>
        </w:tc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1,70%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1,60%</w:t>
            </w:r>
          </w:p>
        </w:tc>
      </w:tr>
      <w:tr w:rsidR="00C10CFC" w:rsidRPr="007235DA" w:rsidTr="00901377">
        <w:trPr>
          <w:trHeight w:val="388"/>
        </w:trPr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rPr>
                <w:sz w:val="22"/>
              </w:rPr>
            </w:pPr>
            <w:r w:rsidRPr="007235DA">
              <w:rPr>
                <w:sz w:val="22"/>
              </w:rPr>
              <w:t>od 50,01 do 80%</w:t>
            </w: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2,30%</w:t>
            </w:r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1,85%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1,80%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1,70%</w:t>
            </w:r>
          </w:p>
        </w:tc>
      </w:tr>
    </w:tbl>
    <w:p w:rsidR="00C10CFC" w:rsidRPr="007235DA" w:rsidRDefault="00C10CFC" w:rsidP="00C10CFC">
      <w:pPr>
        <w:rPr>
          <w:sz w:val="22"/>
        </w:rPr>
      </w:pPr>
    </w:p>
    <w:p w:rsidR="00C10CFC" w:rsidRPr="007235DA" w:rsidRDefault="00C10CFC" w:rsidP="00C10CFC">
      <w:pPr>
        <w:rPr>
          <w:sz w:val="22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3"/>
        <w:gridCol w:w="1870"/>
        <w:gridCol w:w="1603"/>
        <w:gridCol w:w="1736"/>
        <w:gridCol w:w="1800"/>
      </w:tblGrid>
      <w:tr w:rsidR="00C10CFC" w:rsidRPr="007235DA" w:rsidTr="00901377">
        <w:trPr>
          <w:trHeight w:val="3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 xml:space="preserve">Pożyczki </w:t>
            </w:r>
          </w:p>
        </w:tc>
      </w:tr>
      <w:tr w:rsidR="00C10CFC" w:rsidRPr="007235DA" w:rsidTr="00901377">
        <w:trPr>
          <w:trHeight w:val="388"/>
        </w:trPr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0CFC" w:rsidRPr="007235DA" w:rsidRDefault="00C10CFC" w:rsidP="00901377">
            <w:pPr>
              <w:rPr>
                <w:sz w:val="22"/>
              </w:rPr>
            </w:pPr>
            <w:r w:rsidRPr="007235DA">
              <w:rPr>
                <w:sz w:val="22"/>
              </w:rPr>
              <w:t>LTV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do 99.99 tys.</w:t>
            </w:r>
          </w:p>
        </w:tc>
        <w:tc>
          <w:tcPr>
            <w:tcW w:w="87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 xml:space="preserve">od 100 – </w:t>
            </w:r>
          </w:p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199,99tys.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 xml:space="preserve">od 200– </w:t>
            </w:r>
          </w:p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499,99 tys.</w:t>
            </w:r>
          </w:p>
        </w:tc>
        <w:tc>
          <w:tcPr>
            <w:tcW w:w="9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od 500tys.</w:t>
            </w:r>
          </w:p>
        </w:tc>
      </w:tr>
      <w:tr w:rsidR="00C10CFC" w:rsidRPr="007235DA" w:rsidTr="00901377">
        <w:trPr>
          <w:trHeight w:val="388"/>
        </w:trPr>
        <w:tc>
          <w:tcPr>
            <w:tcW w:w="11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rPr>
                <w:sz w:val="22"/>
              </w:rPr>
            </w:pPr>
            <w:r w:rsidRPr="007235DA">
              <w:rPr>
                <w:sz w:val="22"/>
              </w:rPr>
              <w:t>do 50%</w:t>
            </w: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3,60%</w:t>
            </w:r>
          </w:p>
        </w:tc>
        <w:tc>
          <w:tcPr>
            <w:tcW w:w="8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3,30%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3,20%</w:t>
            </w:r>
          </w:p>
        </w:tc>
        <w:tc>
          <w:tcPr>
            <w:tcW w:w="97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3,10%</w:t>
            </w:r>
          </w:p>
        </w:tc>
      </w:tr>
      <w:tr w:rsidR="00C10CFC" w:rsidRPr="007235DA" w:rsidTr="00901377">
        <w:trPr>
          <w:trHeight w:val="388"/>
        </w:trPr>
        <w:tc>
          <w:tcPr>
            <w:tcW w:w="1196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rPr>
                <w:sz w:val="22"/>
              </w:rPr>
            </w:pPr>
            <w:r w:rsidRPr="007235DA">
              <w:rPr>
                <w:sz w:val="22"/>
              </w:rPr>
              <w:t>od 50,01 do 80%</w:t>
            </w: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3,80%</w:t>
            </w:r>
          </w:p>
        </w:tc>
        <w:tc>
          <w:tcPr>
            <w:tcW w:w="8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3,35%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3,30%</w:t>
            </w:r>
          </w:p>
        </w:tc>
        <w:tc>
          <w:tcPr>
            <w:tcW w:w="97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0CFC" w:rsidRPr="007235DA" w:rsidRDefault="00C10CFC" w:rsidP="00901377">
            <w:pPr>
              <w:jc w:val="center"/>
              <w:rPr>
                <w:sz w:val="22"/>
              </w:rPr>
            </w:pPr>
            <w:r w:rsidRPr="007235DA">
              <w:rPr>
                <w:sz w:val="22"/>
              </w:rPr>
              <w:t>3,25%</w:t>
            </w:r>
          </w:p>
        </w:tc>
      </w:tr>
    </w:tbl>
    <w:p w:rsidR="00C10CFC" w:rsidRPr="00D30025" w:rsidRDefault="00C10CFC" w:rsidP="00C10CFC">
      <w:pPr>
        <w:rPr>
          <w:i/>
        </w:rPr>
      </w:pPr>
    </w:p>
    <w:p w:rsidR="00C10CFC" w:rsidRPr="00D30025" w:rsidRDefault="00C10CFC" w:rsidP="00C10CFC">
      <w:pPr>
        <w:rPr>
          <w:sz w:val="22"/>
          <w:szCs w:val="22"/>
        </w:rPr>
      </w:pPr>
      <w:r w:rsidRPr="00D30025">
        <w:rPr>
          <w:sz w:val="22"/>
          <w:szCs w:val="22"/>
        </w:rPr>
        <w:t>*) dla Kredytów konsolidacyjnych marża Banku jest podnoszona o:</w:t>
      </w:r>
    </w:p>
    <w:p w:rsidR="00C10CFC" w:rsidRPr="00A6536F" w:rsidRDefault="00C10CFC" w:rsidP="00C10CFC">
      <w:pPr>
        <w:numPr>
          <w:ilvl w:val="0"/>
          <w:numId w:val="1"/>
        </w:numPr>
        <w:rPr>
          <w:sz w:val="22"/>
          <w:szCs w:val="22"/>
        </w:rPr>
      </w:pPr>
      <w:r w:rsidRPr="001370A8">
        <w:rPr>
          <w:sz w:val="22"/>
          <w:szCs w:val="22"/>
        </w:rPr>
        <w:t>0,75</w:t>
      </w:r>
      <w:r w:rsidRPr="00A6536F">
        <w:rPr>
          <w:sz w:val="22"/>
          <w:szCs w:val="22"/>
        </w:rPr>
        <w:t xml:space="preserve"> </w:t>
      </w:r>
      <w:proofErr w:type="spellStart"/>
      <w:r w:rsidRPr="00A6536F">
        <w:rPr>
          <w:sz w:val="22"/>
          <w:szCs w:val="22"/>
        </w:rPr>
        <w:t>p.p</w:t>
      </w:r>
      <w:proofErr w:type="spellEnd"/>
      <w:r w:rsidRPr="00A6536F">
        <w:rPr>
          <w:sz w:val="22"/>
          <w:szCs w:val="22"/>
        </w:rPr>
        <w:t>. w przypadku, gdy konsolidacja celów innych niż mieszkaniowych stanowi nie więcej niż 50% kwoty Kredytu</w:t>
      </w:r>
    </w:p>
    <w:p w:rsidR="00C10CFC" w:rsidRDefault="00C10CFC" w:rsidP="00C10CFC">
      <w:pPr>
        <w:numPr>
          <w:ilvl w:val="0"/>
          <w:numId w:val="1"/>
        </w:numPr>
        <w:rPr>
          <w:sz w:val="22"/>
          <w:szCs w:val="22"/>
        </w:rPr>
      </w:pPr>
      <w:r w:rsidRPr="001370A8">
        <w:rPr>
          <w:sz w:val="22"/>
          <w:szCs w:val="22"/>
        </w:rPr>
        <w:t>1,50</w:t>
      </w:r>
      <w:r w:rsidRPr="00A6536F">
        <w:rPr>
          <w:sz w:val="22"/>
          <w:szCs w:val="22"/>
        </w:rPr>
        <w:t xml:space="preserve"> </w:t>
      </w:r>
      <w:proofErr w:type="spellStart"/>
      <w:r w:rsidRPr="00A6536F">
        <w:rPr>
          <w:sz w:val="22"/>
          <w:szCs w:val="22"/>
        </w:rPr>
        <w:t>p</w:t>
      </w:r>
      <w:r w:rsidRPr="00D30025">
        <w:rPr>
          <w:sz w:val="22"/>
          <w:szCs w:val="22"/>
        </w:rPr>
        <w:t>.p</w:t>
      </w:r>
      <w:proofErr w:type="spellEnd"/>
      <w:r w:rsidRPr="00D30025">
        <w:rPr>
          <w:sz w:val="22"/>
          <w:szCs w:val="22"/>
        </w:rPr>
        <w:t>. w przypadku, gdy konsolidacja celów innych niż mieszkaniowe stanowi ponad 50% kwoty Kredytu</w:t>
      </w:r>
    </w:p>
    <w:p w:rsidR="00C10CFC" w:rsidRDefault="00C10CFC" w:rsidP="00C10CFC">
      <w:pPr>
        <w:rPr>
          <w:sz w:val="22"/>
          <w:szCs w:val="22"/>
        </w:rPr>
      </w:pPr>
    </w:p>
    <w:p w:rsidR="00C10CFC" w:rsidRDefault="00C10CFC" w:rsidP="00C10CFC">
      <w:pPr>
        <w:rPr>
          <w:b/>
          <w:i/>
          <w:sz w:val="22"/>
          <w:szCs w:val="22"/>
          <w:u w:val="single"/>
        </w:rPr>
      </w:pPr>
      <w:r w:rsidRPr="00C10CFC">
        <w:rPr>
          <w:b/>
          <w:i/>
          <w:sz w:val="22"/>
          <w:szCs w:val="22"/>
          <w:u w:val="single"/>
        </w:rPr>
        <w:t xml:space="preserve">Wariant 1 </w:t>
      </w:r>
      <w:r>
        <w:rPr>
          <w:b/>
          <w:i/>
          <w:sz w:val="22"/>
          <w:szCs w:val="22"/>
          <w:u w:val="single"/>
        </w:rPr>
        <w:t>P</w:t>
      </w:r>
      <w:r w:rsidRPr="00C10CFC">
        <w:rPr>
          <w:b/>
          <w:i/>
          <w:sz w:val="22"/>
          <w:szCs w:val="22"/>
          <w:u w:val="single"/>
        </w:rPr>
        <w:t xml:space="preserve">referencje marży </w:t>
      </w:r>
    </w:p>
    <w:p w:rsidR="00C10CFC" w:rsidRPr="00C10CFC" w:rsidRDefault="00C10CFC" w:rsidP="00C10CFC">
      <w:pPr>
        <w:jc w:val="both"/>
        <w:rPr>
          <w:u w:val="single"/>
        </w:rPr>
      </w:pP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1"/>
        <w:gridCol w:w="3097"/>
        <w:gridCol w:w="1999"/>
        <w:gridCol w:w="3092"/>
      </w:tblGrid>
      <w:tr w:rsidR="00C10CFC" w:rsidRPr="00D30025" w:rsidTr="00901377">
        <w:trPr>
          <w:trHeight w:val="363"/>
        </w:trPr>
        <w:tc>
          <w:tcPr>
            <w:tcW w:w="2257" w:type="pct"/>
            <w:gridSpan w:val="2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  <w:b/>
              </w:rPr>
            </w:pPr>
            <w:r w:rsidRPr="00D30025">
              <w:rPr>
                <w:rFonts w:eastAsia="Times New Roman"/>
                <w:b/>
              </w:rPr>
              <w:t>Segment Klienta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  <w:b/>
              </w:rPr>
            </w:pPr>
            <w:r w:rsidRPr="00D30025">
              <w:rPr>
                <w:rFonts w:eastAsia="Times New Roman"/>
                <w:b/>
              </w:rPr>
              <w:t>Obniżenie standardowej marży</w:t>
            </w:r>
          </w:p>
        </w:tc>
        <w:tc>
          <w:tcPr>
            <w:tcW w:w="1666" w:type="pct"/>
            <w:shd w:val="clear" w:color="auto" w:fill="auto"/>
            <w:vAlign w:val="center"/>
          </w:tcPr>
          <w:p w:rsidR="00C10CFC" w:rsidRPr="00D56E52" w:rsidRDefault="00C10CFC" w:rsidP="00C10CFC">
            <w:pPr>
              <w:jc w:val="center"/>
              <w:rPr>
                <w:rFonts w:eastAsia="Times New Roman"/>
                <w:b/>
              </w:rPr>
            </w:pPr>
            <w:r w:rsidRPr="00D56E52">
              <w:rPr>
                <w:rFonts w:eastAsia="Times New Roman"/>
                <w:b/>
              </w:rPr>
              <w:t xml:space="preserve">Prowizja </w:t>
            </w:r>
          </w:p>
        </w:tc>
      </w:tr>
      <w:tr w:rsidR="00C10CFC" w:rsidRPr="00D30025" w:rsidTr="00901377">
        <w:trPr>
          <w:trHeight w:val="363"/>
        </w:trPr>
        <w:tc>
          <w:tcPr>
            <w:tcW w:w="588" w:type="pct"/>
            <w:vMerge w:val="restart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>Kredyt</w:t>
            </w:r>
            <w:r>
              <w:rPr>
                <w:rFonts w:eastAsia="Times New Roman"/>
              </w:rPr>
              <w:t xml:space="preserve"> i pożyczka</w:t>
            </w:r>
          </w:p>
        </w:tc>
        <w:tc>
          <w:tcPr>
            <w:tcW w:w="1669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 xml:space="preserve">Pozostali Klienci 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C10CFC" w:rsidRPr="00D30025" w:rsidRDefault="00C10CFC" w:rsidP="00C10CF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- 0,4</w:t>
            </w:r>
            <w:r w:rsidRPr="00D30025">
              <w:rPr>
                <w:rFonts w:eastAsia="Times New Roman"/>
              </w:rPr>
              <w:t xml:space="preserve"> </w:t>
            </w:r>
            <w:proofErr w:type="spellStart"/>
            <w:r w:rsidRPr="00D30025">
              <w:rPr>
                <w:rFonts w:eastAsia="Times New Roman"/>
              </w:rPr>
              <w:t>p.p</w:t>
            </w:r>
            <w:proofErr w:type="spellEnd"/>
            <w:r w:rsidRPr="00D30025">
              <w:rPr>
                <w:rFonts w:eastAsia="Times New Roman"/>
              </w:rPr>
              <w:t>.</w:t>
            </w:r>
          </w:p>
        </w:tc>
        <w:tc>
          <w:tcPr>
            <w:tcW w:w="1666" w:type="pct"/>
            <w:shd w:val="clear" w:color="auto" w:fill="auto"/>
            <w:vAlign w:val="center"/>
          </w:tcPr>
          <w:p w:rsidR="00C10CFC" w:rsidRPr="00D56E52" w:rsidRDefault="00C10CFC" w:rsidP="00C10CF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2,2</w:t>
            </w:r>
            <w:r w:rsidRPr="00D56E52">
              <w:rPr>
                <w:rFonts w:eastAsia="Times New Roman"/>
              </w:rPr>
              <w:t xml:space="preserve"> </w:t>
            </w:r>
            <w:proofErr w:type="spellStart"/>
            <w:r w:rsidRPr="00D56E52">
              <w:rPr>
                <w:rFonts w:eastAsia="Times New Roman"/>
              </w:rPr>
              <w:t>p.p</w:t>
            </w:r>
            <w:proofErr w:type="spellEnd"/>
            <w:r>
              <w:rPr>
                <w:rFonts w:eastAsia="Times New Roman"/>
              </w:rPr>
              <w:t>.</w:t>
            </w:r>
          </w:p>
        </w:tc>
      </w:tr>
      <w:tr w:rsidR="00C10CFC" w:rsidRPr="00D30025" w:rsidTr="00901377">
        <w:trPr>
          <w:trHeight w:val="363"/>
        </w:trPr>
        <w:tc>
          <w:tcPr>
            <w:tcW w:w="588" w:type="pct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</w:p>
        </w:tc>
        <w:tc>
          <w:tcPr>
            <w:tcW w:w="1669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>Stały</w:t>
            </w:r>
          </w:p>
        </w:tc>
        <w:tc>
          <w:tcPr>
            <w:tcW w:w="10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C10CF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- 0,6p.p.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56E52" w:rsidRDefault="00C10CFC" w:rsidP="00C10CF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1,8</w:t>
            </w:r>
            <w:r w:rsidRPr="00D56E52">
              <w:rPr>
                <w:rFonts w:eastAsia="Times New Roman"/>
              </w:rPr>
              <w:t xml:space="preserve"> </w:t>
            </w:r>
            <w:proofErr w:type="spellStart"/>
            <w:r w:rsidRPr="00D56E52">
              <w:rPr>
                <w:rFonts w:eastAsia="Times New Roman"/>
              </w:rPr>
              <w:t>p.p</w:t>
            </w:r>
            <w:proofErr w:type="spellEnd"/>
            <w:r w:rsidRPr="00D56E52">
              <w:rPr>
                <w:rFonts w:eastAsia="Times New Roman"/>
              </w:rPr>
              <w:t xml:space="preserve">. </w:t>
            </w:r>
          </w:p>
        </w:tc>
      </w:tr>
      <w:tr w:rsidR="00C10CFC" w:rsidRPr="00D30025" w:rsidTr="00901377">
        <w:trPr>
          <w:trHeight w:val="363"/>
        </w:trPr>
        <w:tc>
          <w:tcPr>
            <w:tcW w:w="588" w:type="pct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</w:p>
        </w:tc>
        <w:tc>
          <w:tcPr>
            <w:tcW w:w="1669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Personal i </w:t>
            </w:r>
            <w:proofErr w:type="spellStart"/>
            <w:r>
              <w:rPr>
                <w:rFonts w:eastAsia="Times New Roman"/>
              </w:rPr>
              <w:t>Private</w:t>
            </w:r>
            <w:proofErr w:type="spellEnd"/>
            <w:r>
              <w:rPr>
                <w:rFonts w:eastAsia="Times New Roman"/>
              </w:rPr>
              <w:t xml:space="preserve"> Banking</w:t>
            </w:r>
          </w:p>
        </w:tc>
        <w:tc>
          <w:tcPr>
            <w:tcW w:w="1077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C10CF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- 0,6p.p.</w:t>
            </w:r>
          </w:p>
        </w:tc>
        <w:tc>
          <w:tcPr>
            <w:tcW w:w="1666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0CFC" w:rsidRPr="00D56E52" w:rsidRDefault="00C10CFC" w:rsidP="00C10CF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1,4</w:t>
            </w:r>
            <w:r w:rsidRPr="00D56E52">
              <w:rPr>
                <w:rFonts w:eastAsia="Times New Roman"/>
              </w:rPr>
              <w:t xml:space="preserve"> </w:t>
            </w:r>
            <w:proofErr w:type="spellStart"/>
            <w:r w:rsidRPr="00D56E52">
              <w:rPr>
                <w:rFonts w:eastAsia="Times New Roman"/>
              </w:rPr>
              <w:t>p.p</w:t>
            </w:r>
            <w:proofErr w:type="spellEnd"/>
            <w:r w:rsidRPr="00D56E52">
              <w:rPr>
                <w:rFonts w:eastAsia="Times New Roman"/>
              </w:rPr>
              <w:t xml:space="preserve">. </w:t>
            </w:r>
          </w:p>
        </w:tc>
      </w:tr>
    </w:tbl>
    <w:p w:rsidR="00C10CFC" w:rsidRPr="00C10CFC" w:rsidRDefault="00C10CFC" w:rsidP="00C10CFC">
      <w:pPr>
        <w:pStyle w:val="Akapitzlist"/>
        <w:jc w:val="both"/>
        <w:rPr>
          <w:b/>
          <w:i/>
          <w:sz w:val="22"/>
          <w:szCs w:val="22"/>
          <w:u w:val="single"/>
        </w:rPr>
      </w:pPr>
    </w:p>
    <w:p w:rsidR="00C10CFC" w:rsidRPr="00C10CFC" w:rsidRDefault="00C10CFC" w:rsidP="00C10CFC">
      <w:pPr>
        <w:jc w:val="both"/>
        <w:rPr>
          <w:b/>
          <w:i/>
          <w:sz w:val="22"/>
          <w:szCs w:val="22"/>
          <w:u w:val="single"/>
        </w:rPr>
      </w:pPr>
      <w:r w:rsidRPr="00C10CFC">
        <w:rPr>
          <w:b/>
          <w:i/>
          <w:sz w:val="22"/>
          <w:szCs w:val="22"/>
          <w:u w:val="single"/>
        </w:rPr>
        <w:t xml:space="preserve">Wariant 2  Rezygnacja z prowizji przygotowawczej </w:t>
      </w:r>
    </w:p>
    <w:p w:rsidR="00C10CFC" w:rsidRPr="00C10CFC" w:rsidRDefault="00C10CFC" w:rsidP="00C10CFC">
      <w:pPr>
        <w:pStyle w:val="Akapitzlist"/>
        <w:jc w:val="both"/>
        <w:rPr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45"/>
        <w:gridCol w:w="2751"/>
        <w:gridCol w:w="3392"/>
      </w:tblGrid>
      <w:tr w:rsidR="00C10CFC" w:rsidRPr="00D30025" w:rsidTr="00901377">
        <w:trPr>
          <w:trHeight w:val="340"/>
        </w:trPr>
        <w:tc>
          <w:tcPr>
            <w:tcW w:w="1693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  <w:b/>
              </w:rPr>
            </w:pPr>
            <w:r w:rsidRPr="00D30025">
              <w:rPr>
                <w:rFonts w:eastAsia="Times New Roman"/>
                <w:b/>
              </w:rPr>
              <w:t>Segment Klienta (Kredyt/Pożyczka)</w:t>
            </w:r>
          </w:p>
        </w:tc>
        <w:tc>
          <w:tcPr>
            <w:tcW w:w="1481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  <w:b/>
              </w:rPr>
            </w:pPr>
            <w:r w:rsidRPr="00D30025">
              <w:rPr>
                <w:rFonts w:eastAsia="Times New Roman"/>
                <w:b/>
              </w:rPr>
              <w:t>Obniżenie standardowej marży</w:t>
            </w:r>
          </w:p>
        </w:tc>
        <w:tc>
          <w:tcPr>
            <w:tcW w:w="1826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  <w:b/>
              </w:rPr>
            </w:pPr>
            <w:r w:rsidRPr="00D30025">
              <w:rPr>
                <w:rFonts w:eastAsia="Times New Roman"/>
                <w:b/>
              </w:rPr>
              <w:t>Prowizja</w:t>
            </w:r>
          </w:p>
        </w:tc>
      </w:tr>
      <w:tr w:rsidR="00C10CFC" w:rsidRPr="00D30025" w:rsidTr="00901377">
        <w:trPr>
          <w:trHeight w:val="340"/>
        </w:trPr>
        <w:tc>
          <w:tcPr>
            <w:tcW w:w="1693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 xml:space="preserve">Pozostali Klienci </w:t>
            </w:r>
          </w:p>
        </w:tc>
        <w:tc>
          <w:tcPr>
            <w:tcW w:w="1481" w:type="pct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 xml:space="preserve">0,0 </w:t>
            </w:r>
            <w:proofErr w:type="spellStart"/>
            <w:r w:rsidRPr="00D30025">
              <w:rPr>
                <w:rFonts w:eastAsia="Times New Roman"/>
              </w:rPr>
              <w:t>p.p</w:t>
            </w:r>
            <w:proofErr w:type="spellEnd"/>
            <w:r w:rsidRPr="00D30025">
              <w:rPr>
                <w:rFonts w:eastAsia="Times New Roman"/>
              </w:rPr>
              <w:t>.</w:t>
            </w:r>
          </w:p>
        </w:tc>
        <w:tc>
          <w:tcPr>
            <w:tcW w:w="1826" w:type="pct"/>
            <w:vMerge w:val="restart"/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>0,0 %</w:t>
            </w:r>
          </w:p>
        </w:tc>
      </w:tr>
      <w:tr w:rsidR="00C10CFC" w:rsidRPr="00D30025" w:rsidTr="00901377">
        <w:trPr>
          <w:trHeight w:val="340"/>
        </w:trPr>
        <w:tc>
          <w:tcPr>
            <w:tcW w:w="16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both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 xml:space="preserve">Stały </w:t>
            </w:r>
          </w:p>
        </w:tc>
        <w:tc>
          <w:tcPr>
            <w:tcW w:w="14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 xml:space="preserve">- 0,2 </w:t>
            </w:r>
            <w:proofErr w:type="spellStart"/>
            <w:r w:rsidRPr="00D30025">
              <w:rPr>
                <w:rFonts w:eastAsia="Times New Roman"/>
              </w:rPr>
              <w:t>p.p</w:t>
            </w:r>
            <w:proofErr w:type="spellEnd"/>
            <w:r w:rsidRPr="00D30025">
              <w:rPr>
                <w:rFonts w:eastAsia="Times New Roman"/>
              </w:rPr>
              <w:t>.</w:t>
            </w:r>
          </w:p>
        </w:tc>
        <w:tc>
          <w:tcPr>
            <w:tcW w:w="182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</w:rPr>
            </w:pPr>
          </w:p>
        </w:tc>
      </w:tr>
      <w:tr w:rsidR="00C10CFC" w:rsidRPr="00D30025" w:rsidTr="00901377">
        <w:trPr>
          <w:trHeight w:val="340"/>
        </w:trPr>
        <w:tc>
          <w:tcPr>
            <w:tcW w:w="16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Personal i </w:t>
            </w:r>
            <w:proofErr w:type="spellStart"/>
            <w:r>
              <w:rPr>
                <w:rFonts w:eastAsia="Times New Roman"/>
              </w:rPr>
              <w:t>Private</w:t>
            </w:r>
            <w:proofErr w:type="spellEnd"/>
            <w:r>
              <w:rPr>
                <w:rFonts w:eastAsia="Times New Roman"/>
              </w:rPr>
              <w:t xml:space="preserve"> Banking</w:t>
            </w:r>
          </w:p>
        </w:tc>
        <w:tc>
          <w:tcPr>
            <w:tcW w:w="14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</w:rPr>
            </w:pPr>
            <w:r w:rsidRPr="00D30025">
              <w:rPr>
                <w:rFonts w:eastAsia="Times New Roman"/>
              </w:rPr>
              <w:t xml:space="preserve">- 0,2 </w:t>
            </w:r>
            <w:proofErr w:type="spellStart"/>
            <w:r w:rsidRPr="00D30025">
              <w:rPr>
                <w:rFonts w:eastAsia="Times New Roman"/>
              </w:rPr>
              <w:t>p.p</w:t>
            </w:r>
            <w:proofErr w:type="spellEnd"/>
            <w:r w:rsidRPr="00D30025">
              <w:rPr>
                <w:rFonts w:eastAsia="Times New Roman"/>
              </w:rPr>
              <w:t>.</w:t>
            </w:r>
          </w:p>
        </w:tc>
        <w:tc>
          <w:tcPr>
            <w:tcW w:w="182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CFC" w:rsidRPr="00D30025" w:rsidRDefault="00C10CFC" w:rsidP="00901377">
            <w:pPr>
              <w:jc w:val="center"/>
              <w:rPr>
                <w:rFonts w:eastAsia="Times New Roman"/>
              </w:rPr>
            </w:pPr>
          </w:p>
        </w:tc>
      </w:tr>
    </w:tbl>
    <w:p w:rsidR="00C10CFC" w:rsidRPr="00C10CFC" w:rsidRDefault="00C10CFC" w:rsidP="00C10CFC">
      <w:pPr>
        <w:pStyle w:val="Akapitzlist"/>
        <w:widowControl w:val="0"/>
        <w:overflowPunct/>
        <w:autoSpaceDE/>
        <w:autoSpaceDN/>
        <w:adjustRightInd/>
        <w:jc w:val="both"/>
        <w:textAlignment w:val="auto"/>
        <w:rPr>
          <w:b/>
          <w:u w:val="single"/>
        </w:rPr>
      </w:pPr>
    </w:p>
    <w:p w:rsidR="00C10CFC" w:rsidRPr="00C10CFC" w:rsidRDefault="00C10CFC" w:rsidP="00C10CFC">
      <w:pPr>
        <w:jc w:val="both"/>
        <w:rPr>
          <w:b/>
          <w:i/>
          <w:sz w:val="22"/>
          <w:szCs w:val="22"/>
          <w:u w:val="single"/>
        </w:rPr>
      </w:pPr>
      <w:r w:rsidRPr="00C10CFC">
        <w:rPr>
          <w:b/>
          <w:i/>
          <w:sz w:val="22"/>
          <w:szCs w:val="22"/>
          <w:u w:val="single"/>
        </w:rPr>
        <w:t>Warunki skorzystania z oferty cross-</w:t>
      </w:r>
      <w:proofErr w:type="spellStart"/>
      <w:r w:rsidRPr="00C10CFC">
        <w:rPr>
          <w:b/>
          <w:i/>
          <w:sz w:val="22"/>
          <w:szCs w:val="22"/>
          <w:u w:val="single"/>
        </w:rPr>
        <w:t>selling</w:t>
      </w:r>
      <w:proofErr w:type="spellEnd"/>
      <w:r w:rsidRPr="00C10CFC">
        <w:rPr>
          <w:b/>
          <w:i/>
          <w:sz w:val="22"/>
          <w:szCs w:val="22"/>
          <w:u w:val="single"/>
        </w:rPr>
        <w:t>:</w:t>
      </w:r>
    </w:p>
    <w:p w:rsidR="00C10CFC" w:rsidRPr="00C10CFC" w:rsidRDefault="00C10CFC" w:rsidP="00C10CFC">
      <w:pPr>
        <w:numPr>
          <w:ilvl w:val="0"/>
          <w:numId w:val="3"/>
        </w:numPr>
        <w:ind w:left="709"/>
        <w:jc w:val="both"/>
        <w:rPr>
          <w:i/>
          <w:sz w:val="22"/>
          <w:szCs w:val="22"/>
        </w:rPr>
      </w:pPr>
      <w:r w:rsidRPr="00C10CFC">
        <w:rPr>
          <w:sz w:val="22"/>
          <w:szCs w:val="22"/>
        </w:rPr>
        <w:t>Aby skorzystać z oferty cross-</w:t>
      </w:r>
      <w:proofErr w:type="spellStart"/>
      <w:r w:rsidRPr="00C10CFC">
        <w:rPr>
          <w:sz w:val="22"/>
          <w:szCs w:val="22"/>
        </w:rPr>
        <w:t>sell</w:t>
      </w:r>
      <w:proofErr w:type="spellEnd"/>
      <w:r w:rsidRPr="00C10CFC">
        <w:rPr>
          <w:sz w:val="22"/>
          <w:szCs w:val="22"/>
        </w:rPr>
        <w:t xml:space="preserve"> Klient zobowiązany jest do:</w:t>
      </w:r>
    </w:p>
    <w:p w:rsidR="00C10CFC" w:rsidRPr="00C10CFC" w:rsidRDefault="00C10CFC" w:rsidP="00C10CFC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C10CFC">
        <w:rPr>
          <w:sz w:val="22"/>
          <w:szCs w:val="22"/>
        </w:rPr>
        <w:t xml:space="preserve"> posiadania/założenia ROR na dzień podpisania umowy kredytowej, oraz</w:t>
      </w:r>
    </w:p>
    <w:p w:rsidR="00C10CFC" w:rsidRPr="00C10CFC" w:rsidRDefault="00C10CFC" w:rsidP="00C10CFC">
      <w:pPr>
        <w:numPr>
          <w:ilvl w:val="0"/>
          <w:numId w:val="2"/>
        </w:numPr>
        <w:jc w:val="both"/>
        <w:rPr>
          <w:i/>
          <w:sz w:val="22"/>
          <w:szCs w:val="22"/>
        </w:rPr>
      </w:pPr>
      <w:r w:rsidRPr="00C10CFC">
        <w:rPr>
          <w:sz w:val="22"/>
          <w:szCs w:val="22"/>
        </w:rPr>
        <w:t xml:space="preserve"> posiadania/zadeklarowania wpływów na ROR w wysokości min. 2000 zł miesięcznie</w:t>
      </w:r>
    </w:p>
    <w:p w:rsidR="00C10CFC" w:rsidRPr="00C10CFC" w:rsidRDefault="00C10CFC" w:rsidP="00C10CFC">
      <w:pPr>
        <w:numPr>
          <w:ilvl w:val="0"/>
          <w:numId w:val="3"/>
        </w:numPr>
        <w:ind w:left="709"/>
        <w:jc w:val="both"/>
        <w:rPr>
          <w:sz w:val="22"/>
          <w:szCs w:val="22"/>
        </w:rPr>
      </w:pPr>
      <w:r w:rsidRPr="00C10CFC">
        <w:rPr>
          <w:sz w:val="22"/>
          <w:szCs w:val="22"/>
        </w:rPr>
        <w:t xml:space="preserve">Klient zobowiązany jest do korzystania z ww. produktów przez okres min. 3 lat od daty zawarcia umowy kredytowej – w okresie 3 lat Bank będzie posiadał prawo do ich weryfikacji i podwyższenia marży o 0,4 </w:t>
      </w:r>
      <w:proofErr w:type="spellStart"/>
      <w:r w:rsidRPr="00C10CFC">
        <w:rPr>
          <w:sz w:val="22"/>
          <w:szCs w:val="22"/>
        </w:rPr>
        <w:t>p.p</w:t>
      </w:r>
      <w:proofErr w:type="spellEnd"/>
      <w:r w:rsidRPr="00C10CFC">
        <w:rPr>
          <w:sz w:val="22"/>
          <w:szCs w:val="22"/>
        </w:rPr>
        <w:t>. w przypadku stwierdzenia, iż którykolwiek z warunków nie jest spełniony</w:t>
      </w:r>
    </w:p>
    <w:p w:rsidR="00C10CFC" w:rsidRPr="00C10CFC" w:rsidRDefault="00C10CFC" w:rsidP="00C10CFC">
      <w:pPr>
        <w:numPr>
          <w:ilvl w:val="0"/>
          <w:numId w:val="3"/>
        </w:numPr>
        <w:ind w:left="709"/>
        <w:jc w:val="both"/>
        <w:rPr>
          <w:bCs/>
        </w:rPr>
      </w:pPr>
      <w:bookmarkStart w:id="0" w:name="_GoBack"/>
      <w:bookmarkEnd w:id="0"/>
      <w:r w:rsidRPr="00C10CFC">
        <w:rPr>
          <w:sz w:val="22"/>
          <w:szCs w:val="22"/>
        </w:rPr>
        <w:t>Klient może skorzystać tylko z jednego z dwóch wariantów.</w:t>
      </w:r>
    </w:p>
    <w:p w:rsidR="004B0D72" w:rsidRPr="00C10CFC" w:rsidRDefault="004B0D72"/>
    <w:sectPr w:rsidR="004B0D72" w:rsidRPr="00C10C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05C98"/>
    <w:multiLevelType w:val="hybridMultilevel"/>
    <w:tmpl w:val="F40C049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8E7774"/>
    <w:multiLevelType w:val="hybridMultilevel"/>
    <w:tmpl w:val="C83C623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3C72260"/>
    <w:multiLevelType w:val="hybridMultilevel"/>
    <w:tmpl w:val="CAD622AE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CFC"/>
    <w:rsid w:val="000844B7"/>
    <w:rsid w:val="002701D8"/>
    <w:rsid w:val="004B0D72"/>
    <w:rsid w:val="00755339"/>
    <w:rsid w:val="008B19DF"/>
    <w:rsid w:val="00A112ED"/>
    <w:rsid w:val="00C10CFC"/>
    <w:rsid w:val="00C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10CFC"/>
    <w:pPr>
      <w:overflowPunct w:val="0"/>
      <w:autoSpaceDE w:val="0"/>
      <w:autoSpaceDN w:val="0"/>
      <w:adjustRightInd w:val="0"/>
      <w:textAlignment w:val="baseline"/>
    </w:pPr>
    <w:rPr>
      <w:rFonts w:eastAsia="Batang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0C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10CFC"/>
    <w:pPr>
      <w:overflowPunct w:val="0"/>
      <w:autoSpaceDE w:val="0"/>
      <w:autoSpaceDN w:val="0"/>
      <w:adjustRightInd w:val="0"/>
      <w:textAlignment w:val="baseline"/>
    </w:pPr>
    <w:rPr>
      <w:rFonts w:eastAsia="Batang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0C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ING Group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Korduła Grzegorz</dc:creator>
  <cp:keywords/>
  <dc:description/>
  <cp:lastModifiedBy>Szerszeń Ewa BANK</cp:lastModifiedBy>
  <cp:revision>3</cp:revision>
  <dcterms:created xsi:type="dcterms:W3CDTF">2013-01-03T10:52:00Z</dcterms:created>
  <dcterms:modified xsi:type="dcterms:W3CDTF">2013-01-03T10:53:00Z</dcterms:modified>
</cp:coreProperties>
</file>